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4729708D" w14:textId="77777777" w:rsidR="00A57770" w:rsidRPr="008C1887" w:rsidRDefault="00A57770" w:rsidP="00A57770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C1887">
        <w:rPr>
          <w:rFonts w:ascii="Arial" w:hAnsi="Arial" w:cs="Arial"/>
          <w:b/>
          <w:color w:val="000000"/>
          <w:sz w:val="32"/>
          <w:szCs w:val="32"/>
        </w:rPr>
        <w:t>Oprava opěrné zdi v úseku Studenec – Vladislav</w:t>
      </w: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0BB298C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57770" w:rsidRPr="00AC16BD">
        <w:t>20.</w:t>
      </w:r>
      <w:r w:rsidR="00F57BB4" w:rsidRPr="00AC16BD">
        <w:t xml:space="preserve"> </w:t>
      </w:r>
      <w:r w:rsidR="00A57770" w:rsidRPr="00AC16BD">
        <w:t>04.</w:t>
      </w:r>
      <w:r w:rsidR="00F57BB4" w:rsidRPr="00AC16BD">
        <w:t xml:space="preserve"> </w:t>
      </w:r>
      <w:r w:rsidR="00A57770" w:rsidRPr="00AC16BD">
        <w:t>2021</w:t>
      </w:r>
    </w:p>
    <w:p w14:paraId="3296D39B" w14:textId="77777777" w:rsidR="00826B7B" w:rsidRDefault="00826B7B">
      <w:r>
        <w:br w:type="page"/>
      </w:r>
    </w:p>
    <w:p w14:paraId="6627779C" w14:textId="6DD2F465" w:rsidR="00DA1C67" w:rsidRDefault="00DA1C67"/>
    <w:p w14:paraId="13248912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0B245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0B245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0B245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0B245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0B245E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0B245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0B245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0B245E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165BAFB5" w14:textId="77777777" w:rsidR="00A57770" w:rsidRPr="00C530E8" w:rsidRDefault="00A57770" w:rsidP="00A57770">
      <w:pPr>
        <w:pStyle w:val="Text2-1"/>
      </w:pPr>
      <w:r>
        <w:t>Předmětem díla je zhotovení stavby „</w:t>
      </w:r>
      <w:r w:rsidRPr="00C530E8">
        <w:rPr>
          <w:rFonts w:cs="Arial"/>
          <w:b/>
          <w:color w:val="000000"/>
        </w:rPr>
        <w:t>Oprava opěrné zdi v úseku Studenec – Vladislav</w:t>
      </w:r>
      <w:r w:rsidRPr="00C530E8">
        <w:t>“</w:t>
      </w:r>
      <w:r>
        <w:t xml:space="preserve"> </w:t>
      </w:r>
      <w:r w:rsidRPr="00C530E8">
        <w:t xml:space="preserve">jejímž cílem je </w:t>
      </w:r>
      <w:r>
        <w:t>zajištění</w:t>
      </w:r>
      <w:r w:rsidRPr="00C530E8">
        <w:t xml:space="preserve"> provozuschopnosti dráhy a ochraně přilehlých pozemků z důvodu narušení opěrné zdi na náspu.</w:t>
      </w:r>
    </w:p>
    <w:p w14:paraId="2EEEDD0D" w14:textId="77777777" w:rsidR="00A57770" w:rsidRPr="00C530E8" w:rsidRDefault="00A57770" w:rsidP="00A57770">
      <w:pPr>
        <w:pStyle w:val="Text2-1"/>
      </w:pPr>
      <w:r w:rsidRPr="00C530E8">
        <w:t>Rozsah Díla „</w:t>
      </w:r>
      <w:r w:rsidRPr="00C530E8">
        <w:rPr>
          <w:rFonts w:cs="Arial"/>
        </w:rPr>
        <w:t>Oprava opěrné zdi v úseku Studenec – Vladislav</w:t>
      </w:r>
      <w:r w:rsidRPr="00C530E8">
        <w:t xml:space="preserve">“ je prvotní </w:t>
      </w:r>
      <w:r>
        <w:t>odstranění</w:t>
      </w:r>
      <w:r w:rsidRPr="00C530E8">
        <w:t xml:space="preserve"> zjištěných závad</w:t>
      </w:r>
      <w:r>
        <w:t xml:space="preserve"> na stávající opěrné zdi</w:t>
      </w:r>
      <w:r w:rsidRPr="00C530E8">
        <w:t xml:space="preserve"> zřízením nové opěrné železobetonové zdi.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0EBD2125" w14:textId="77777777" w:rsidR="00A57770" w:rsidRPr="00092DF5" w:rsidRDefault="00A57770" w:rsidP="00A57770">
      <w:pPr>
        <w:pStyle w:val="Text2-1"/>
      </w:pPr>
      <w:r>
        <w:t>Předmětná stavba se nachází v úseku Studenec – Vladislav na trati Brno hl.n. – Jihlava. Trať</w:t>
      </w:r>
      <w:r w:rsidRPr="00092DF5">
        <w:t xml:space="preserve"> je jednokolejná, neelektrifikovaná trať</w:t>
      </w:r>
      <w:r>
        <w:t>,</w:t>
      </w:r>
      <w:r w:rsidRPr="00092DF5">
        <w:t xml:space="preserve"> označena v knižním jízdním řádu jako trať č. 24</w:t>
      </w:r>
      <w:r>
        <w:t>0</w:t>
      </w:r>
      <w:r w:rsidRPr="00092DF5">
        <w:t>, dle TTP 322</w:t>
      </w:r>
      <w:r>
        <w:t>C</w:t>
      </w:r>
      <w:r w:rsidRPr="00092DF5">
        <w:t xml:space="preserve">. Maximální traťová rychlost </w:t>
      </w:r>
      <w:r>
        <w:t xml:space="preserve">v úseku dotčeném stavbou </w:t>
      </w:r>
      <w:r w:rsidRPr="00092DF5">
        <w:t xml:space="preserve">je </w:t>
      </w:r>
      <w:r>
        <w:t>6</w:t>
      </w:r>
      <w:r w:rsidRPr="00092DF5">
        <w:t>0 km/h</w:t>
      </w:r>
      <w:r>
        <w:t>.</w:t>
      </w:r>
      <w:r w:rsidRPr="00092DF5">
        <w:t xml:space="preserve"> </w:t>
      </w:r>
      <w:r>
        <w:t>Stavba se nachází v Kraji vysočina, okres Třebíč, obec Vladislav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70837EEA" w14:textId="5A32FA5F" w:rsidR="00A57770" w:rsidRDefault="00A57770" w:rsidP="00A57770">
      <w:pPr>
        <w:pStyle w:val="Text2-1"/>
      </w:pPr>
      <w:r>
        <w:t>Projektová dokumentace „</w:t>
      </w:r>
      <w:r w:rsidRPr="00C530E8">
        <w:rPr>
          <w:rFonts w:cs="Arial"/>
          <w:color w:val="000000"/>
        </w:rPr>
        <w:t>Oprava opěrné zdi v úseku Studenec – Vladislav</w:t>
      </w:r>
      <w:r w:rsidRPr="00C530E8">
        <w:t>““,</w:t>
      </w:r>
      <w:r>
        <w:t xml:space="preserve"> zpraco</w:t>
      </w:r>
      <w:r w:rsidR="0099332D">
        <w:t>vatel DMC Havlíčkův Brod s. r. o.</w:t>
      </w:r>
    </w:p>
    <w:p w14:paraId="462EDD0A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t>Související dokumentace</w:t>
      </w:r>
      <w:bookmarkEnd w:id="17"/>
      <w:bookmarkEnd w:id="18"/>
    </w:p>
    <w:p w14:paraId="052E53A3" w14:textId="717B387B" w:rsidR="00DF7BAA" w:rsidRDefault="00DF7BAA" w:rsidP="00EC1137">
      <w:pPr>
        <w:pStyle w:val="Text2-1"/>
      </w:pPr>
      <w:r w:rsidRPr="0099332D">
        <w:t xml:space="preserve">Stavební povolení </w:t>
      </w:r>
      <w:r>
        <w:t xml:space="preserve">nebude </w:t>
      </w:r>
      <w:r w:rsidR="0099332D">
        <w:t>k dispozici</w:t>
      </w:r>
      <w:r>
        <w:t>.</w:t>
      </w:r>
    </w:p>
    <w:p w14:paraId="5D4B3D46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607AFBDF" w14:textId="747EC779" w:rsidR="00DF7BAA" w:rsidRPr="0099332D" w:rsidRDefault="0099332D" w:rsidP="00A57770">
      <w:pPr>
        <w:pStyle w:val="Odstavec1-1a"/>
        <w:numPr>
          <w:ilvl w:val="0"/>
          <w:numId w:val="0"/>
        </w:numPr>
        <w:spacing w:after="120"/>
        <w:ind w:left="1077" w:hanging="340"/>
      </w:pPr>
      <w:r w:rsidRPr="0099332D">
        <w:t>Ne</w:t>
      </w:r>
      <w:r>
        <w:t>předpokládá se</w:t>
      </w:r>
      <w:r w:rsidRPr="0099332D">
        <w:t>.</w:t>
      </w:r>
    </w:p>
    <w:p w14:paraId="2C39C99E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FF86CD8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</w:t>
      </w:r>
      <w:r w:rsidR="00A34271">
        <w:lastRenderedPageBreak/>
        <w:t xml:space="preserve">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4E23F713" w14:textId="64001A38" w:rsidR="00122084" w:rsidRDefault="000941B0" w:rsidP="00680766">
      <w:pPr>
        <w:pStyle w:val="Text2-1"/>
      </w:pPr>
      <w:r>
        <w:t xml:space="preserve">V čl. 3.2.3 se ruší text … </w:t>
      </w:r>
      <w:r w:rsidR="00122084">
        <w:t>a finančního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</w:t>
      </w:r>
      <w:r>
        <w:lastRenderedPageBreak/>
        <w:t>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>Čl. 4.2.18.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2AA2A33F" w:rsidR="00680766" w:rsidRDefault="00680766" w:rsidP="00680766">
      <w:pPr>
        <w:pStyle w:val="Text2-1"/>
      </w:pPr>
      <w:r>
        <w:t>V čl. 5.</w:t>
      </w:r>
      <w:r w:rsidR="00A5791C">
        <w:t xml:space="preserve"> </w:t>
      </w:r>
      <w:r>
        <w:t>1.</w:t>
      </w:r>
      <w:r w:rsidR="00A5791C">
        <w:t xml:space="preserve"> </w:t>
      </w:r>
      <w:r>
        <w:t xml:space="preserve">10. VTP se text „5 pracovních dnů“ nahrazuje textem „2 pracovní dny“. </w:t>
      </w:r>
    </w:p>
    <w:p w14:paraId="5D2B5F55" w14:textId="2470D2D9" w:rsidR="00680766" w:rsidRDefault="00680766" w:rsidP="00B9150D">
      <w:pPr>
        <w:pStyle w:val="Text2-1"/>
        <w:ind w:left="1814" w:hanging="1814"/>
      </w:pPr>
      <w:r>
        <w:t>V čl. 5.2.4. VTP se mění lhůta ze čtyř týdn</w:t>
      </w:r>
      <w:r w:rsidR="00A5791C">
        <w:t>ů na dva týdny. Ruší se text “…</w:t>
      </w:r>
      <w:r>
        <w:t xml:space="preserve"> a písemně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462D6260" w:rsidR="00680766" w:rsidRDefault="00680766" w:rsidP="00B9150D">
      <w:pPr>
        <w:pStyle w:val="Text2-1"/>
        <w:ind w:left="1871" w:hanging="1871"/>
      </w:pPr>
      <w:r>
        <w:t>V čl. 7.</w:t>
      </w:r>
      <w:r w:rsidR="00A5791C">
        <w:t xml:space="preserve"> </w:t>
      </w:r>
      <w:r>
        <w:t>1.</w:t>
      </w:r>
      <w:r w:rsidR="00A5791C">
        <w:t xml:space="preserve"> </w:t>
      </w:r>
      <w:r>
        <w:t>11.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lastRenderedPageBreak/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546211FE" w:rsidR="00680766" w:rsidRDefault="00680766" w:rsidP="00B9150D">
      <w:pPr>
        <w:pStyle w:val="Text2-1"/>
        <w:ind w:left="1814" w:hanging="1814"/>
      </w:pPr>
      <w:r>
        <w:t xml:space="preserve">V </w:t>
      </w:r>
      <w:r w:rsidR="00A5791C">
        <w:t xml:space="preserve">čl. 8.2.8. VTP se ruší text „… </w:t>
      </w:r>
      <w:r>
        <w:t>v rozsahu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3E82339B" w14:textId="1691B3CC" w:rsidR="008F5F18" w:rsidRPr="00AC16BD" w:rsidRDefault="008F5F18" w:rsidP="008F5F18">
      <w:pPr>
        <w:pStyle w:val="Text2-1"/>
      </w:pPr>
      <w:r w:rsidRPr="00AC16BD">
        <w:rPr>
          <w:rStyle w:val="Tun"/>
          <w:b w:val="0"/>
        </w:rPr>
        <w:t xml:space="preserve">Zhotovitel </w:t>
      </w:r>
      <w:r w:rsidR="00AC16BD">
        <w:rPr>
          <w:rStyle w:val="Tun"/>
          <w:b w:val="0"/>
        </w:rPr>
        <w:t>nebude vést</w:t>
      </w:r>
      <w:r w:rsidRPr="00AC16BD">
        <w:rPr>
          <w:rStyle w:val="Tun"/>
          <w:b w:val="0"/>
        </w:rPr>
        <w:t xml:space="preserve"> elektronický stavební deník</w:t>
      </w:r>
      <w:r w:rsidRPr="00AC16BD">
        <w:rPr>
          <w:b/>
        </w:rPr>
        <w:t xml:space="preserve"> </w:t>
      </w:r>
      <w:r w:rsidRPr="00AC16BD">
        <w:t>(dále jen "ESD").</w:t>
      </w:r>
      <w:bookmarkStart w:id="25" w:name="_GoBack"/>
      <w:bookmarkEnd w:id="25"/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>Minimální požadavky na použití markerů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>Silová zařízení a kabely (včetně kabelů určených k napájení zabezpečovacích zařízení) – červený marker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Rozvody vody a jejich zařízení - modrý marker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>Rozvody plynu a jejich zařízení – žlutý marker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>, ukončovací armatury, hloubkové změny, překladové armatury, stlačená místa, armatury na regulaci tlaku, elektrotavné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Sdělovací zařízení a kabely – oranžový marker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(markery v zapisovatelném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Zabezpečovací zařízení – fialový marker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kabelů zabezpečovacích, včetně kabelů optických a HDPE – doporučené umístění markeru po cca 50 m a na lomové body, uložení kabelových metalických spojek (markery v zapisovatelném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r w:rsidRPr="008726E7">
        <w:t>markery</w:t>
      </w:r>
      <w:r>
        <w:t xml:space="preserve"> v zapisovatelném provedení, kabelové rezervy metalických, optických a kombinovaných (hybridních) kabelů (markery v zapisovatelném provedení), uložení spojek optických a kombinovaných (hybridních) kabelů (markery v zapisovatelném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Odpadní voda – zelený marker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>U sdělovacích a zabezpečovacích kabelů OŘ se bude informace o markerech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>Informace o použití markerů bude zaznamenaná do DSPS.</w:t>
      </w:r>
    </w:p>
    <w:p w14:paraId="3C7B909E" w14:textId="77777777" w:rsidR="008F5F18" w:rsidRDefault="008F5F18" w:rsidP="008F5F18">
      <w:pPr>
        <w:pStyle w:val="Textbezslovn"/>
      </w:pPr>
      <w:r>
        <w:t>Do digitální dokumentace se budou zaznamenávat markery ve tvaru kolečka s velkým písmenem M uprostřed ve všech 6</w:t>
      </w:r>
      <w:r w:rsidR="005F0E69">
        <w:t xml:space="preserve"> </w:t>
      </w:r>
      <w:r>
        <w:t xml:space="preserve">vrstvách odpovídajících kategoriím podzemních </w:t>
      </w:r>
      <w:r>
        <w:lastRenderedPageBreak/>
        <w:t>vedení. Značka bude tvarově stejná pro všech 6 vrstev, rozlišení kategorie bude pouze barvou, která bude odpovídat barvě markeru.</w:t>
      </w:r>
    </w:p>
    <w:p w14:paraId="6B67C16E" w14:textId="77777777" w:rsidR="008F5F18" w:rsidRPr="00AC16BD" w:rsidRDefault="005F0E69" w:rsidP="00084867">
      <w:pPr>
        <w:pStyle w:val="Text2-1"/>
      </w:pPr>
      <w:r w:rsidRPr="00AC16BD">
        <w:t>………….</w:t>
      </w:r>
    </w:p>
    <w:p w14:paraId="06749678" w14:textId="77777777" w:rsidR="00DF7BAA" w:rsidRDefault="00DF7BAA" w:rsidP="00DF7BAA">
      <w:pPr>
        <w:pStyle w:val="Nadpis2-2"/>
      </w:pPr>
      <w:bookmarkStart w:id="26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53D229E3" w14:textId="77777777" w:rsidR="00A57770" w:rsidRDefault="00A57770" w:rsidP="00A57770">
      <w:pPr>
        <w:pStyle w:val="Text2-1"/>
      </w:pPr>
      <w:r>
        <w:t xml:space="preserve">Kontakt pro zjištění informací o bodech ŽBP je úředně oprávněný zeměměřičský inženýr Objednatele (dále jen „ÚOZI Objednatele“) - Ing. Pavel Bělehrad, tel. 972 625 479; mobil: 727 912 426; email: Belehrad@szdc.cz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67EE83D4" w14:textId="77777777" w:rsidR="00446218" w:rsidRDefault="00067EA3" w:rsidP="00446218">
      <w:pPr>
        <w:pStyle w:val="Text2-1"/>
      </w:pPr>
      <w:r>
        <w:lastRenderedPageBreak/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>
        <w:t xml:space="preserve">     </w:t>
      </w:r>
      <w:r>
        <w:t>2. třídu přesnosti.</w:t>
      </w:r>
    </w:p>
    <w:p w14:paraId="4971679C" w14:textId="77777777" w:rsidR="00446218" w:rsidRDefault="00446218" w:rsidP="00446218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1EA09747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větší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7C5BB0F" w14:textId="77777777" w:rsidR="00DF7BAA" w:rsidRDefault="00DF7BAA" w:rsidP="00DF7BAA">
      <w:pPr>
        <w:pStyle w:val="Nadpis2-2"/>
      </w:pPr>
      <w:bookmarkStart w:id="27" w:name="_Toc6410438"/>
      <w:bookmarkStart w:id="28" w:name="_Toc21501953"/>
      <w:r>
        <w:t>Doklady překládané zhotovitelem</w:t>
      </w:r>
      <w:bookmarkEnd w:id="27"/>
      <w:bookmarkEnd w:id="28"/>
    </w:p>
    <w:p w14:paraId="770ED6C2" w14:textId="791BBA15" w:rsidR="00DF7BAA" w:rsidRPr="00ED2030" w:rsidRDefault="00DF7BAA" w:rsidP="00DF7BAA">
      <w:pPr>
        <w:pStyle w:val="Text2-1"/>
      </w:pPr>
      <w:r w:rsidRPr="00ED2030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</w:p>
    <w:p w14:paraId="37A04043" w14:textId="77777777" w:rsidR="00DF7BAA" w:rsidRPr="00ED2030" w:rsidRDefault="00DF7BAA" w:rsidP="00DF7BAA">
      <w:pPr>
        <w:pStyle w:val="Text2-1"/>
      </w:pPr>
      <w:r w:rsidRPr="00ED2030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3299794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0CF9EBD2" w14:textId="77777777" w:rsidR="00DF7BAA" w:rsidRPr="00ED2030" w:rsidRDefault="00130E62" w:rsidP="00130E62">
      <w:pPr>
        <w:pStyle w:val="Text2-1"/>
      </w:pPr>
      <w:r w:rsidRPr="00ED2030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 146/2008 Sb. o rozsahu a obsahu projektové d</w:t>
      </w:r>
      <w:r w:rsidR="00E03B03" w:rsidRPr="00ED2030">
        <w:t>okumentace dopravních staveb, v </w:t>
      </w:r>
      <w:r w:rsidRPr="00ED2030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14:paraId="0830C5FB" w14:textId="77777777"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5227D6A5" w14:textId="77777777" w:rsidR="00DF7BAA" w:rsidRDefault="00DF7BAA" w:rsidP="00DF7BAA">
      <w:pPr>
        <w:pStyle w:val="Text2-1"/>
      </w:pPr>
      <w:r>
        <w:lastRenderedPageBreak/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5D625513" w14:textId="77777777" w:rsidR="008F5F18" w:rsidRDefault="00DF7BAA" w:rsidP="00DF7BAA">
      <w:pPr>
        <w:pStyle w:val="Text2-1"/>
      </w:pPr>
      <w:r w:rsidRPr="007B502B">
        <w:t>…………</w:t>
      </w:r>
      <w:r w:rsidR="008F5F18">
        <w:t>………..</w:t>
      </w:r>
    </w:p>
    <w:p w14:paraId="2066B1A4" w14:textId="77777777" w:rsidR="00DF7BAA" w:rsidRDefault="00DF7BAA" w:rsidP="00DF7BAA">
      <w:pPr>
        <w:pStyle w:val="Nadpis2-2"/>
      </w:pPr>
      <w:bookmarkStart w:id="31" w:name="_Toc6410440"/>
      <w:bookmarkStart w:id="32" w:name="_Toc21501955"/>
      <w:r>
        <w:t>Dokumentace skutečného provedení stavby</w:t>
      </w:r>
      <w:bookmarkEnd w:id="31"/>
      <w:bookmarkEnd w:id="32"/>
    </w:p>
    <w:p w14:paraId="54F40B0B" w14:textId="77777777" w:rsidR="00DF7BAA" w:rsidRPr="00ED2030" w:rsidRDefault="00DF7BAA" w:rsidP="00DF7BAA">
      <w:pPr>
        <w:pStyle w:val="Text2-1"/>
      </w:pPr>
      <w:r w:rsidRPr="00ED2030">
        <w:t>Součástí dokumentace dle skutečného stavu provedení kromě jiného budou:</w:t>
      </w:r>
    </w:p>
    <w:p w14:paraId="31588BB9" w14:textId="77777777" w:rsidR="00DF7BAA" w:rsidRPr="00ED2030" w:rsidRDefault="00DF7BAA" w:rsidP="00DF7BAA">
      <w:pPr>
        <w:pStyle w:val="Odrka1-1"/>
        <w:numPr>
          <w:ilvl w:val="0"/>
          <w:numId w:val="5"/>
        </w:numPr>
        <w:spacing w:after="60"/>
      </w:pPr>
      <w:r w:rsidRPr="00ED2030">
        <w:t>……………...</w:t>
      </w:r>
    </w:p>
    <w:p w14:paraId="50ED4617" w14:textId="77777777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39A6C8A8" w14:textId="153908D8" w:rsidR="00DF7BAA" w:rsidRDefault="00A57770" w:rsidP="00DF7BAA">
      <w:pPr>
        <w:pStyle w:val="Text2-1"/>
      </w:pPr>
      <w:r>
        <w:t>ne</w:t>
      </w:r>
    </w:p>
    <w:p w14:paraId="4E6CA8E0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39977D08" w14:textId="09FBAC6E" w:rsidR="00DF7BAA" w:rsidRDefault="00A57770" w:rsidP="00DF7BAA">
      <w:pPr>
        <w:pStyle w:val="Text2-1"/>
      </w:pPr>
      <w:r>
        <w:t>ne</w:t>
      </w:r>
    </w:p>
    <w:p w14:paraId="03A465B7" w14:textId="77777777" w:rsidR="00DF7BAA" w:rsidRDefault="00DF7BAA" w:rsidP="00DF7BAA">
      <w:pPr>
        <w:pStyle w:val="Nadpis2-2"/>
      </w:pPr>
      <w:bookmarkStart w:id="37" w:name="_Toc6410443"/>
      <w:bookmarkStart w:id="38" w:name="_Toc21501958"/>
      <w:r>
        <w:t>Silnoproudá technologie včetně DŘT, trakční a energetická zařízení</w:t>
      </w:r>
      <w:bookmarkEnd w:id="37"/>
      <w:bookmarkEnd w:id="38"/>
    </w:p>
    <w:p w14:paraId="54DECDBC" w14:textId="1BDD8204" w:rsidR="00DF7BAA" w:rsidRDefault="00A57770" w:rsidP="00DF7BAA">
      <w:pPr>
        <w:pStyle w:val="Text2-1"/>
      </w:pPr>
      <w:r>
        <w:t>ne</w:t>
      </w:r>
    </w:p>
    <w:p w14:paraId="02877E3E" w14:textId="77777777" w:rsidR="00DF7BAA" w:rsidRDefault="00DF7BAA" w:rsidP="00DF7BAA">
      <w:pPr>
        <w:pStyle w:val="Nadpis2-2"/>
      </w:pPr>
      <w:bookmarkStart w:id="39" w:name="_Toc6410444"/>
      <w:bookmarkStart w:id="40" w:name="_Toc21501959"/>
      <w:r>
        <w:t>Ostatní technologická zařízení</w:t>
      </w:r>
      <w:bookmarkEnd w:id="39"/>
      <w:bookmarkEnd w:id="40"/>
    </w:p>
    <w:p w14:paraId="2302B4F1" w14:textId="5837DDDD" w:rsidR="00DF7BAA" w:rsidRDefault="00D57B9B" w:rsidP="00DF7BAA">
      <w:pPr>
        <w:pStyle w:val="Text2-1"/>
      </w:pPr>
      <w:r>
        <w:t>ne</w:t>
      </w:r>
    </w:p>
    <w:p w14:paraId="39E43FA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t>Železniční svršek</w:t>
      </w:r>
      <w:bookmarkEnd w:id="41"/>
      <w:r>
        <w:t xml:space="preserve"> </w:t>
      </w:r>
      <w:bookmarkEnd w:id="42"/>
    </w:p>
    <w:p w14:paraId="046B63DC" w14:textId="6B37C0F6" w:rsidR="00DF7BAA" w:rsidRDefault="00D57B9B" w:rsidP="00DF7BAA">
      <w:pPr>
        <w:pStyle w:val="Text2-1"/>
      </w:pPr>
      <w:r>
        <w:t>ne</w:t>
      </w:r>
    </w:p>
    <w:p w14:paraId="6F5CD935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5805C0B0" w14:textId="77777777" w:rsidR="00DF7BAA" w:rsidRDefault="00DF7BAA" w:rsidP="00DF7BAA">
      <w:pPr>
        <w:pStyle w:val="Text2-1"/>
      </w:pPr>
      <w:r>
        <w:t>…………………………</w:t>
      </w:r>
    </w:p>
    <w:p w14:paraId="6FBDF248" w14:textId="77777777" w:rsidR="00DF7BAA" w:rsidRDefault="00DF7BAA" w:rsidP="00DF7BAA">
      <w:pPr>
        <w:pStyle w:val="Nadpis2-2"/>
      </w:pPr>
      <w:bookmarkStart w:id="45" w:name="_Toc6410447"/>
      <w:bookmarkStart w:id="46" w:name="_Toc21501962"/>
      <w:r>
        <w:t>Nástupiště</w:t>
      </w:r>
      <w:bookmarkEnd w:id="45"/>
      <w:bookmarkEnd w:id="46"/>
    </w:p>
    <w:p w14:paraId="6504A5E5" w14:textId="0CDB7A5B" w:rsidR="00DF7BAA" w:rsidRDefault="00D57B9B" w:rsidP="00DF7BAA">
      <w:pPr>
        <w:pStyle w:val="Text2-1"/>
      </w:pPr>
      <w:r>
        <w:t>ne</w:t>
      </w:r>
    </w:p>
    <w:p w14:paraId="7E5D3833" w14:textId="77777777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941FFF3" w14:textId="67EEB448" w:rsidR="00DF7BAA" w:rsidRDefault="00D57B9B" w:rsidP="00DF7BAA">
      <w:pPr>
        <w:pStyle w:val="Text2-1"/>
      </w:pPr>
      <w:r>
        <w:t>ne</w:t>
      </w:r>
    </w:p>
    <w:p w14:paraId="5404FE32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5E9893BD" w14:textId="77777777" w:rsidR="00DF7BAA" w:rsidRDefault="00DF7BAA" w:rsidP="00DF7BAA">
      <w:pPr>
        <w:pStyle w:val="Text2-1"/>
      </w:pPr>
      <w:r>
        <w:t>…………………………</w:t>
      </w:r>
    </w:p>
    <w:p w14:paraId="1E688FC1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C5FADA4" w14:textId="06D263CD" w:rsidR="00DF7BAA" w:rsidRDefault="00D57B9B" w:rsidP="00DF7BAA">
      <w:pPr>
        <w:pStyle w:val="Text2-1"/>
      </w:pPr>
      <w:r>
        <w:t>ne</w:t>
      </w:r>
    </w:p>
    <w:p w14:paraId="6D952DD7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F0C72F7" w14:textId="6A1A56DD" w:rsidR="00DF7BAA" w:rsidRDefault="00D57B9B" w:rsidP="00DF7BAA">
      <w:pPr>
        <w:pStyle w:val="Text2-1"/>
      </w:pPr>
      <w:r>
        <w:t>ne</w:t>
      </w:r>
    </w:p>
    <w:p w14:paraId="6BA329E5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D8B30EC" w14:textId="119E2B0D" w:rsidR="00DF7BAA" w:rsidRDefault="00D57B9B" w:rsidP="00DF7BAA">
      <w:pPr>
        <w:pStyle w:val="Text2-1"/>
      </w:pPr>
      <w:r>
        <w:t>ne</w:t>
      </w:r>
    </w:p>
    <w:p w14:paraId="0FE0BBF5" w14:textId="77777777" w:rsidR="00DF7BAA" w:rsidRDefault="00DF7BAA" w:rsidP="00DF7BAA">
      <w:pPr>
        <w:pStyle w:val="Nadpis2-2"/>
      </w:pPr>
      <w:bookmarkStart w:id="57" w:name="_Toc6410453"/>
      <w:bookmarkStart w:id="58" w:name="_Toc21501968"/>
      <w:r>
        <w:t>Kabelovody, kolektory</w:t>
      </w:r>
      <w:bookmarkEnd w:id="57"/>
      <w:bookmarkEnd w:id="58"/>
    </w:p>
    <w:p w14:paraId="3B9760F9" w14:textId="13627C7F" w:rsidR="00DF7BAA" w:rsidRDefault="00D57B9B" w:rsidP="00DF7BAA">
      <w:pPr>
        <w:pStyle w:val="Text2-1"/>
      </w:pPr>
      <w:r>
        <w:t>ne</w:t>
      </w:r>
    </w:p>
    <w:p w14:paraId="3970086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19FFFA84" w14:textId="140F0BF5" w:rsidR="00DF7BAA" w:rsidRDefault="00D57B9B" w:rsidP="00DF7BAA">
      <w:pPr>
        <w:pStyle w:val="Text2-1"/>
      </w:pPr>
      <w:r>
        <w:t>ne</w:t>
      </w:r>
    </w:p>
    <w:p w14:paraId="0C3A6748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lastRenderedPageBreak/>
        <w:t>Pozemní stavební objekty</w:t>
      </w:r>
      <w:bookmarkEnd w:id="61"/>
      <w:bookmarkEnd w:id="62"/>
    </w:p>
    <w:p w14:paraId="3798FA04" w14:textId="7A21F2F0" w:rsidR="00DF7BAA" w:rsidRDefault="00D57B9B" w:rsidP="00DF7BAA">
      <w:pPr>
        <w:pStyle w:val="Text2-1"/>
      </w:pPr>
      <w:r>
        <w:t>ne</w:t>
      </w:r>
    </w:p>
    <w:p w14:paraId="02BC4286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t>Trakční a energická zařízení</w:t>
      </w:r>
      <w:bookmarkEnd w:id="63"/>
      <w:bookmarkEnd w:id="64"/>
    </w:p>
    <w:p w14:paraId="0B50C4B5" w14:textId="5C048CE3" w:rsidR="00DF7BAA" w:rsidRDefault="00D57B9B" w:rsidP="00DF7BAA">
      <w:pPr>
        <w:pStyle w:val="Text2-1"/>
      </w:pPr>
      <w:r>
        <w:t>ne</w:t>
      </w:r>
    </w:p>
    <w:p w14:paraId="349705CF" w14:textId="77777777" w:rsidR="00DF7BAA" w:rsidRDefault="00DF7BAA" w:rsidP="00DF7BAA">
      <w:pPr>
        <w:pStyle w:val="Nadpis2-2"/>
      </w:pPr>
      <w:bookmarkStart w:id="65" w:name="_Toc6410457"/>
      <w:bookmarkStart w:id="66" w:name="_Toc21501972"/>
      <w:r>
        <w:t>Vyzískaný materiál</w:t>
      </w:r>
      <w:bookmarkEnd w:id="65"/>
      <w:bookmarkEnd w:id="66"/>
    </w:p>
    <w:p w14:paraId="20C6AD8F" w14:textId="60B0B454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D57B9B">
        <w:t>ne</w:t>
      </w:r>
    </w:p>
    <w:p w14:paraId="00FD099A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145D6852" w14:textId="77777777" w:rsidR="00BF2861" w:rsidRPr="00ED2030" w:rsidRDefault="00BF2861" w:rsidP="00BF2861">
      <w:pPr>
        <w:pStyle w:val="Text2-1"/>
        <w:rPr>
          <w:rStyle w:val="Tun"/>
        </w:rPr>
      </w:pPr>
      <w:r w:rsidRPr="00ED2030">
        <w:rPr>
          <w:rStyle w:val="Tun"/>
        </w:rPr>
        <w:t xml:space="preserve">Nakládání s odpady </w:t>
      </w:r>
    </w:p>
    <w:p w14:paraId="5E77C449" w14:textId="77777777" w:rsidR="00BF2861" w:rsidRPr="00ED2030" w:rsidRDefault="00BF2861" w:rsidP="00BF2861">
      <w:pPr>
        <w:pStyle w:val="Text2-2"/>
      </w:pPr>
      <w:r w:rsidRPr="00ED2030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ED2030">
        <w:t xml:space="preserve">   </w:t>
      </w:r>
    </w:p>
    <w:p w14:paraId="33B20712" w14:textId="77777777" w:rsidR="00BF2861" w:rsidRPr="00ED2030" w:rsidRDefault="00BF2861" w:rsidP="00BF2861">
      <w:pPr>
        <w:pStyle w:val="Text2-2"/>
      </w:pPr>
      <w:r w:rsidRPr="00ED2030">
        <w:rPr>
          <w:rStyle w:val="Tun"/>
        </w:rPr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ED2030">
        <w:t xml:space="preserve"> </w:t>
      </w:r>
    </w:p>
    <w:p w14:paraId="4FC60A0A" w14:textId="77777777" w:rsidR="00BF2861" w:rsidRPr="00ED2030" w:rsidRDefault="00BF2861" w:rsidP="00BF2861">
      <w:pPr>
        <w:pStyle w:val="Text2-2"/>
      </w:pPr>
      <w:r w:rsidRPr="00ED2030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7B7C0CED" w14:textId="77777777" w:rsidR="00BF2861" w:rsidRPr="00ED2030" w:rsidRDefault="00BF2861" w:rsidP="00BF2861">
      <w:pPr>
        <w:pStyle w:val="Text2-2"/>
      </w:pPr>
      <w:r w:rsidRPr="00ED2030">
        <w:t xml:space="preserve">Ceny Zhotovitele pro „Likvidaci odpadu včetně dopravy“ lze využít do množství odpadu v dané kategorii navýšené o 20%. V případě, kdy množství odpadu v daném druhu odpadu překročí 20%, má Objednatel možnost požadovat po Zhotoviteli individuální kalkulaci, příp. si zajistit likvidaci odpadu sám. </w:t>
      </w:r>
    </w:p>
    <w:p w14:paraId="6108E47F" w14:textId="77777777" w:rsidR="00BF2861" w:rsidRPr="00ED2030" w:rsidRDefault="00BF2861" w:rsidP="00BF2861">
      <w:pPr>
        <w:pStyle w:val="Text2-2"/>
      </w:pPr>
      <w:r w:rsidRPr="00ED2030">
        <w:t xml:space="preserve">Správce stavby v průběhu zhotovení stavby oznámí Zhotoviteli, zda si vícepráce nad 20%, každé jedné kategorii odpadu - položce SO 90-90, vztahující se k „Likvidaci odpadů včetně dopravy“ zajistí sám. </w:t>
      </w:r>
    </w:p>
    <w:p w14:paraId="2D32B47B" w14:textId="77777777" w:rsidR="00BF2861" w:rsidRPr="00ED2030" w:rsidRDefault="00BF2861" w:rsidP="00BF2861">
      <w:pPr>
        <w:pStyle w:val="Text2-2"/>
      </w:pPr>
      <w:r w:rsidRPr="00ED2030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0D428C15" w14:textId="77777777" w:rsidR="00DF7BAA" w:rsidRDefault="00DF7BAA" w:rsidP="00DF7BAA">
      <w:pPr>
        <w:pStyle w:val="Text2-1"/>
      </w:pPr>
      <w:r>
        <w:t xml:space="preserve">………………. </w:t>
      </w:r>
    </w:p>
    <w:p w14:paraId="4D04BA59" w14:textId="77777777" w:rsidR="00DF7BAA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6EE4EA91" w14:textId="77777777" w:rsidR="00DF7BAA" w:rsidRPr="00ED2030" w:rsidRDefault="00DF7BAA" w:rsidP="00DF7BAA">
      <w:pPr>
        <w:pStyle w:val="Text2-1"/>
      </w:pPr>
      <w:r w:rsidRPr="00ED2030">
        <w:t xml:space="preserve">Rozhodující milníky doporučeného časového harmonogramu: Při zpracování harmonogramu je nutné vycházet z jednotlivých stavebních postupů uvedených v ZOV a dodržet množství a délku předjednaných výluk / Rozhodující milníky jsou …… (uvedené milníky se musí shodné s Přílohou k nabídce). </w:t>
      </w:r>
    </w:p>
    <w:p w14:paraId="5F07BE86" w14:textId="77777777" w:rsidR="00DF7BAA" w:rsidRPr="00ED2030" w:rsidRDefault="00DF7BAA" w:rsidP="00DF7BAA">
      <w:pPr>
        <w:pStyle w:val="Text2-1"/>
      </w:pPr>
      <w:r w:rsidRPr="00ED2030">
        <w:t>V harmonogramu postupu prací je nutno dle ZOV v Projektové dokumentaci respektovat zejména následující požadavky a termíny:</w:t>
      </w:r>
    </w:p>
    <w:p w14:paraId="472512A4" w14:textId="77777777" w:rsidR="00DF7BAA" w:rsidRPr="00ED2030" w:rsidRDefault="00DF7BAA" w:rsidP="00DF7BAA">
      <w:pPr>
        <w:pStyle w:val="Odrka1-1"/>
        <w:numPr>
          <w:ilvl w:val="0"/>
          <w:numId w:val="5"/>
        </w:numPr>
        <w:spacing w:after="60"/>
      </w:pPr>
      <w:r w:rsidRPr="00ED2030">
        <w:t>termín zahájení a ukončení stavby</w:t>
      </w:r>
    </w:p>
    <w:p w14:paraId="7448EFFF" w14:textId="77777777" w:rsidR="00DF7BAA" w:rsidRPr="00ED2030" w:rsidRDefault="00DF7BAA" w:rsidP="00DF7BAA">
      <w:pPr>
        <w:pStyle w:val="Odrka1-1"/>
        <w:numPr>
          <w:ilvl w:val="0"/>
          <w:numId w:val="5"/>
        </w:numPr>
        <w:spacing w:after="60"/>
      </w:pPr>
      <w:r w:rsidRPr="00ED2030">
        <w:t>možné termíny uvádění provozuschopných celků do provozu</w:t>
      </w:r>
    </w:p>
    <w:p w14:paraId="2D2C0259" w14:textId="77777777" w:rsidR="00DF7BAA" w:rsidRPr="00ED2030" w:rsidRDefault="00DF7BAA" w:rsidP="00DF7BAA">
      <w:pPr>
        <w:pStyle w:val="Odrka1-1"/>
        <w:numPr>
          <w:ilvl w:val="0"/>
          <w:numId w:val="5"/>
        </w:numPr>
        <w:spacing w:after="60"/>
      </w:pPr>
      <w:r w:rsidRPr="00ED2030">
        <w:t>výlukovou činnost s maximálním využitím výlukových časů</w:t>
      </w:r>
    </w:p>
    <w:p w14:paraId="0C62DBCA" w14:textId="77777777" w:rsidR="00DF7BAA" w:rsidRPr="00ED2030" w:rsidRDefault="00DF7BAA" w:rsidP="00DF7BAA">
      <w:pPr>
        <w:pStyle w:val="Odrka1-1"/>
        <w:numPr>
          <w:ilvl w:val="0"/>
          <w:numId w:val="5"/>
        </w:numPr>
        <w:spacing w:after="60"/>
      </w:pPr>
      <w:r w:rsidRPr="00ED2030">
        <w:t>uzavírky pozemních komunikací</w:t>
      </w:r>
    </w:p>
    <w:p w14:paraId="4796847D" w14:textId="77777777" w:rsidR="00DF7BAA" w:rsidRPr="00ED2030" w:rsidRDefault="00DF7BAA" w:rsidP="00DF7BAA">
      <w:pPr>
        <w:pStyle w:val="Odrka1-1"/>
        <w:numPr>
          <w:ilvl w:val="0"/>
          <w:numId w:val="5"/>
        </w:numPr>
        <w:spacing w:after="60"/>
      </w:pPr>
      <w:r w:rsidRPr="00ED2030">
        <w:t>přechodové stavy, provozní zkoušky (kontrolní a zkušební plán)</w:t>
      </w:r>
    </w:p>
    <w:p w14:paraId="74657A69" w14:textId="77777777" w:rsidR="00DF7BAA" w:rsidRPr="00ED2030" w:rsidRDefault="00DF7BAA" w:rsidP="00DF7BAA">
      <w:pPr>
        <w:pStyle w:val="Odrka1-1"/>
        <w:numPr>
          <w:ilvl w:val="0"/>
          <w:numId w:val="5"/>
        </w:numPr>
        <w:spacing w:after="60"/>
      </w:pPr>
      <w:r w:rsidRPr="00ED2030">
        <w:t>koordinace se souběžně probíhajícími stavbami</w:t>
      </w:r>
    </w:p>
    <w:p w14:paraId="74160787" w14:textId="77777777" w:rsidR="00DF7BAA" w:rsidRPr="00ED2030" w:rsidRDefault="00DF7BAA" w:rsidP="00DF7BAA">
      <w:pPr>
        <w:pStyle w:val="Text2-1"/>
      </w:pPr>
      <w:r w:rsidRPr="00ED2030">
        <w:lastRenderedPageBreak/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ED2030">
        <w:t>Z</w:t>
      </w:r>
      <w:r w:rsidRPr="00ED2030">
        <w:t>hotoviteli navržené časové horizonty rozhodujících výluk s cílem dosáhnout jejich maximálního využití a sladění s výlukami sousedních staveb.</w:t>
      </w:r>
    </w:p>
    <w:p w14:paraId="0C2BA9C7" w14:textId="77777777" w:rsidR="00DF7BAA" w:rsidRPr="00ED2030" w:rsidRDefault="00DF7BAA" w:rsidP="00DF7BAA">
      <w:pPr>
        <w:pStyle w:val="Text2-1"/>
      </w:pPr>
      <w:r w:rsidRPr="00ED2030">
        <w:t xml:space="preserve">Závazným pro </w:t>
      </w:r>
      <w:r w:rsidR="00DB58AA" w:rsidRPr="00ED2030">
        <w:t>Z</w:t>
      </w:r>
      <w:r w:rsidRPr="00ED2030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BC51B8" w14:paraId="1792C08D" w14:textId="77777777" w:rsidTr="006A10C4">
        <w:tc>
          <w:tcPr>
            <w:tcW w:w="1327" w:type="dxa"/>
            <w:shd w:val="clear" w:color="auto" w:fill="auto"/>
          </w:tcPr>
          <w:p w14:paraId="021CE1C8" w14:textId="77777777" w:rsidR="00DF7BAA" w:rsidRPr="00ED2030" w:rsidRDefault="00DF7BAA" w:rsidP="00DF7BAA">
            <w:pPr>
              <w:pStyle w:val="Tabulka"/>
              <w:rPr>
                <w:b/>
                <w:sz w:val="14"/>
              </w:rPr>
            </w:pPr>
            <w:r w:rsidRPr="00ED2030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90E68C2" w14:textId="77777777" w:rsidR="00DF7BAA" w:rsidRPr="00ED2030" w:rsidRDefault="00DF7BAA" w:rsidP="00DF7BAA">
            <w:pPr>
              <w:pStyle w:val="Tabulka"/>
              <w:rPr>
                <w:b/>
                <w:sz w:val="14"/>
              </w:rPr>
            </w:pPr>
            <w:r w:rsidRPr="00ED2030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8D5AFAD" w14:textId="77777777" w:rsidR="00DF7BAA" w:rsidRPr="00ED2030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ED2030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28C1381F" w14:textId="77777777" w:rsidR="00DF7BAA" w:rsidRPr="00ED2030" w:rsidRDefault="00DF7BAA" w:rsidP="00DF7BAA">
            <w:pPr>
              <w:pStyle w:val="Tabulka"/>
              <w:rPr>
                <w:b/>
                <w:sz w:val="14"/>
              </w:rPr>
            </w:pPr>
            <w:r w:rsidRPr="00ED2030">
              <w:rPr>
                <w:b/>
                <w:sz w:val="14"/>
              </w:rPr>
              <w:t>Doba trvání</w:t>
            </w:r>
          </w:p>
        </w:tc>
      </w:tr>
      <w:tr w:rsidR="00ED2030" w:rsidRPr="00ED2030" w14:paraId="33B3853D" w14:textId="77777777" w:rsidTr="006A10C4">
        <w:tc>
          <w:tcPr>
            <w:tcW w:w="1327" w:type="dxa"/>
            <w:shd w:val="clear" w:color="auto" w:fill="auto"/>
          </w:tcPr>
          <w:p w14:paraId="73F1990B" w14:textId="77777777" w:rsidR="00D57B9B" w:rsidRPr="00ED2030" w:rsidRDefault="00D57B9B" w:rsidP="00D57B9B">
            <w:pPr>
              <w:pStyle w:val="Tabulka"/>
              <w:rPr>
                <w:sz w:val="14"/>
                <w:highlight w:val="green"/>
              </w:rPr>
            </w:pPr>
          </w:p>
        </w:tc>
        <w:tc>
          <w:tcPr>
            <w:tcW w:w="3118" w:type="dxa"/>
            <w:shd w:val="clear" w:color="auto" w:fill="auto"/>
          </w:tcPr>
          <w:p w14:paraId="16892133" w14:textId="0658E7D2" w:rsidR="00D57B9B" w:rsidRPr="00ED2030" w:rsidRDefault="00D57B9B" w:rsidP="00D57B9B">
            <w:pPr>
              <w:pStyle w:val="Tabulka"/>
              <w:rPr>
                <w:sz w:val="14"/>
                <w:highlight w:val="green"/>
              </w:rPr>
            </w:pPr>
            <w:r w:rsidRPr="00ED2030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14:paraId="25CB7214" w14:textId="77777777" w:rsidR="00D57B9B" w:rsidRPr="00ED2030" w:rsidRDefault="00D57B9B" w:rsidP="00D57B9B">
            <w:pPr>
              <w:pStyle w:val="Tabulka"/>
              <w:jc w:val="center"/>
              <w:rPr>
                <w:sz w:val="14"/>
                <w:highlight w:val="green"/>
              </w:rPr>
            </w:pPr>
          </w:p>
        </w:tc>
        <w:tc>
          <w:tcPr>
            <w:tcW w:w="1985" w:type="dxa"/>
            <w:shd w:val="clear" w:color="auto" w:fill="auto"/>
          </w:tcPr>
          <w:p w14:paraId="08E426DC" w14:textId="0C257DC7" w:rsidR="00D57B9B" w:rsidRPr="00ED2030" w:rsidRDefault="00D57B9B" w:rsidP="009D3264">
            <w:pPr>
              <w:pStyle w:val="Tabulka"/>
              <w:rPr>
                <w:sz w:val="14"/>
                <w:highlight w:val="green"/>
              </w:rPr>
            </w:pPr>
            <w:r w:rsidRPr="00ED2030">
              <w:rPr>
                <w:sz w:val="14"/>
              </w:rPr>
              <w:t>červen</w:t>
            </w:r>
            <w:r w:rsidR="009D3264">
              <w:rPr>
                <w:sz w:val="14"/>
              </w:rPr>
              <w:t>ec</w:t>
            </w:r>
            <w:r w:rsidRPr="00ED2030">
              <w:rPr>
                <w:sz w:val="14"/>
              </w:rPr>
              <w:t xml:space="preserve"> 202</w:t>
            </w:r>
            <w:r w:rsidR="009D3264">
              <w:rPr>
                <w:sz w:val="14"/>
              </w:rPr>
              <w:t>2</w:t>
            </w:r>
          </w:p>
        </w:tc>
      </w:tr>
      <w:tr w:rsidR="00ED2030" w:rsidRPr="00ED2030" w14:paraId="201B8BBB" w14:textId="77777777" w:rsidTr="006A10C4">
        <w:tc>
          <w:tcPr>
            <w:tcW w:w="1327" w:type="dxa"/>
            <w:shd w:val="clear" w:color="auto" w:fill="auto"/>
          </w:tcPr>
          <w:p w14:paraId="090B3B4C" w14:textId="44E59CFF" w:rsidR="00D57B9B" w:rsidRPr="00ED2030" w:rsidRDefault="00D57B9B" w:rsidP="00D57B9B">
            <w:pPr>
              <w:pStyle w:val="Tabulka"/>
              <w:rPr>
                <w:sz w:val="14"/>
              </w:rPr>
            </w:pPr>
            <w:r w:rsidRPr="00ED2030">
              <w:rPr>
                <w:sz w:val="14"/>
              </w:rPr>
              <w:t>1.</w:t>
            </w:r>
            <w:r w:rsidR="00ED2030">
              <w:rPr>
                <w:sz w:val="14"/>
              </w:rPr>
              <w:t xml:space="preserve"> Sekce</w:t>
            </w:r>
          </w:p>
        </w:tc>
        <w:tc>
          <w:tcPr>
            <w:tcW w:w="3118" w:type="dxa"/>
            <w:shd w:val="clear" w:color="auto" w:fill="auto"/>
          </w:tcPr>
          <w:p w14:paraId="0EEE86B0" w14:textId="0601DB87" w:rsidR="00D57B9B" w:rsidRPr="00ED2030" w:rsidRDefault="00D57B9B" w:rsidP="00D57B9B">
            <w:pPr>
              <w:pStyle w:val="Tabulka"/>
              <w:rPr>
                <w:sz w:val="14"/>
              </w:rPr>
            </w:pPr>
            <w:r w:rsidRPr="00ED2030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6FB1CAA0" w14:textId="5B9EF43D" w:rsidR="00D57B9B" w:rsidRPr="00ED2030" w:rsidRDefault="00D57B9B" w:rsidP="00A5791C">
            <w:pPr>
              <w:pStyle w:val="Tabulka"/>
              <w:jc w:val="center"/>
              <w:rPr>
                <w:sz w:val="14"/>
              </w:rPr>
            </w:pPr>
            <w:r w:rsidRPr="00ED2030">
              <w:rPr>
                <w:sz w:val="14"/>
              </w:rPr>
              <w:t>Bez výluk</w:t>
            </w:r>
          </w:p>
        </w:tc>
        <w:tc>
          <w:tcPr>
            <w:tcW w:w="1985" w:type="dxa"/>
            <w:shd w:val="clear" w:color="auto" w:fill="auto"/>
          </w:tcPr>
          <w:p w14:paraId="12B76147" w14:textId="1121A94A" w:rsidR="00D57B9B" w:rsidRPr="00ED2030" w:rsidRDefault="00A5791C" w:rsidP="009D3264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červen</w:t>
            </w:r>
            <w:r w:rsidR="009D3264">
              <w:rPr>
                <w:sz w:val="14"/>
              </w:rPr>
              <w:t>ec</w:t>
            </w:r>
            <w:r>
              <w:rPr>
                <w:sz w:val="14"/>
              </w:rPr>
              <w:t xml:space="preserve"> / </w:t>
            </w:r>
            <w:r w:rsidR="009D3264">
              <w:rPr>
                <w:sz w:val="14"/>
              </w:rPr>
              <w:t>srpen</w:t>
            </w:r>
            <w:r w:rsidR="00D57B9B" w:rsidRPr="00ED2030">
              <w:rPr>
                <w:sz w:val="14"/>
              </w:rPr>
              <w:t xml:space="preserve"> 202</w:t>
            </w:r>
            <w:r w:rsidR="009D3264">
              <w:rPr>
                <w:sz w:val="14"/>
              </w:rPr>
              <w:t>2</w:t>
            </w:r>
          </w:p>
        </w:tc>
      </w:tr>
      <w:tr w:rsidR="00ED2030" w:rsidRPr="00ED2030" w14:paraId="6623199F" w14:textId="77777777" w:rsidTr="006A10C4">
        <w:tc>
          <w:tcPr>
            <w:tcW w:w="1327" w:type="dxa"/>
            <w:shd w:val="clear" w:color="auto" w:fill="auto"/>
          </w:tcPr>
          <w:p w14:paraId="5BCC3B7B" w14:textId="77777777" w:rsidR="00D57B9B" w:rsidRPr="00ED2030" w:rsidRDefault="00D57B9B" w:rsidP="00D57B9B">
            <w:pPr>
              <w:pStyle w:val="Tabulka"/>
              <w:rPr>
                <w:sz w:val="14"/>
              </w:rPr>
            </w:pPr>
            <w:r w:rsidRPr="00ED2030">
              <w:rPr>
                <w:sz w:val="14"/>
              </w:rPr>
              <w:t>2. Sekce</w:t>
            </w:r>
          </w:p>
        </w:tc>
        <w:tc>
          <w:tcPr>
            <w:tcW w:w="3118" w:type="dxa"/>
            <w:shd w:val="clear" w:color="auto" w:fill="auto"/>
          </w:tcPr>
          <w:p w14:paraId="4512C084" w14:textId="6A4A4081" w:rsidR="00D57B9B" w:rsidRPr="00ED2030" w:rsidRDefault="00ED2030" w:rsidP="00ED2030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Realizace</w:t>
            </w:r>
            <w:r w:rsidR="00D57B9B" w:rsidRPr="00ED2030">
              <w:rPr>
                <w:sz w:val="14"/>
              </w:rPr>
              <w:t xml:space="preserve"> </w:t>
            </w:r>
            <w:r>
              <w:rPr>
                <w:sz w:val="14"/>
              </w:rPr>
              <w:t>záporné</w:t>
            </w:r>
            <w:r w:rsidR="00D57B9B" w:rsidRPr="00ED2030">
              <w:rPr>
                <w:sz w:val="14"/>
              </w:rPr>
              <w:t xml:space="preserve"> </w:t>
            </w:r>
            <w:r>
              <w:rPr>
                <w:sz w:val="14"/>
              </w:rPr>
              <w:t>stěny</w:t>
            </w:r>
            <w:r w:rsidR="00D57B9B" w:rsidRPr="00ED2030">
              <w:rPr>
                <w:sz w:val="1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7B7051D4" w14:textId="17B3477B" w:rsidR="00D57B9B" w:rsidRPr="00ED2030" w:rsidRDefault="009D3264" w:rsidP="00D57B9B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Bez výluk</w:t>
            </w:r>
          </w:p>
        </w:tc>
        <w:tc>
          <w:tcPr>
            <w:tcW w:w="1985" w:type="dxa"/>
            <w:shd w:val="clear" w:color="auto" w:fill="auto"/>
          </w:tcPr>
          <w:p w14:paraId="1F0035F7" w14:textId="50040734" w:rsidR="00D57B9B" w:rsidRPr="00ED2030" w:rsidRDefault="009D3264" w:rsidP="009D3264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září / říjen 2022</w:t>
            </w:r>
          </w:p>
        </w:tc>
      </w:tr>
      <w:tr w:rsidR="00ED2030" w:rsidRPr="00ED2030" w14:paraId="5C5EAB0C" w14:textId="77777777" w:rsidTr="006A10C4">
        <w:tc>
          <w:tcPr>
            <w:tcW w:w="1327" w:type="dxa"/>
            <w:shd w:val="clear" w:color="auto" w:fill="auto"/>
          </w:tcPr>
          <w:p w14:paraId="2FEA2A41" w14:textId="4FE80E97" w:rsidR="00D57B9B" w:rsidRPr="00ED2030" w:rsidRDefault="00ED2030" w:rsidP="00D57B9B">
            <w:pPr>
              <w:pStyle w:val="Tabulka"/>
              <w:rPr>
                <w:sz w:val="14"/>
              </w:rPr>
            </w:pPr>
            <w:r w:rsidRPr="00ED2030">
              <w:rPr>
                <w:sz w:val="14"/>
              </w:rPr>
              <w:t>3</w:t>
            </w:r>
            <w:r w:rsidR="00D57B9B" w:rsidRPr="00ED2030">
              <w:rPr>
                <w:sz w:val="14"/>
              </w:rPr>
              <w:t>. Sekce</w:t>
            </w:r>
          </w:p>
        </w:tc>
        <w:tc>
          <w:tcPr>
            <w:tcW w:w="3118" w:type="dxa"/>
            <w:shd w:val="clear" w:color="auto" w:fill="auto"/>
          </w:tcPr>
          <w:p w14:paraId="4563D39C" w14:textId="7EB4C58E" w:rsidR="00D57B9B" w:rsidRPr="00ED2030" w:rsidRDefault="00D57B9B" w:rsidP="00D57B9B">
            <w:pPr>
              <w:pStyle w:val="Tabulka"/>
              <w:rPr>
                <w:sz w:val="14"/>
              </w:rPr>
            </w:pPr>
            <w:r w:rsidRPr="00ED2030">
              <w:rPr>
                <w:sz w:val="14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21B9D2E7" w14:textId="79E76AC9" w:rsidR="00D57B9B" w:rsidRPr="00ED2030" w:rsidRDefault="00D57B9B" w:rsidP="00D57B9B">
            <w:pPr>
              <w:pStyle w:val="Tabulka"/>
              <w:jc w:val="center"/>
              <w:rPr>
                <w:sz w:val="14"/>
              </w:rPr>
            </w:pPr>
            <w:r w:rsidRPr="00ED2030">
              <w:rPr>
                <w:sz w:val="14"/>
              </w:rPr>
              <w:t xml:space="preserve">Bez výluk </w:t>
            </w:r>
          </w:p>
        </w:tc>
        <w:tc>
          <w:tcPr>
            <w:tcW w:w="1985" w:type="dxa"/>
            <w:shd w:val="clear" w:color="auto" w:fill="auto"/>
          </w:tcPr>
          <w:p w14:paraId="70DCA97A" w14:textId="34F6CE33" w:rsidR="00D57B9B" w:rsidRPr="00ED2030" w:rsidRDefault="009D3264" w:rsidP="003E131C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listopad</w:t>
            </w:r>
            <w:r w:rsidR="00D57B9B" w:rsidRPr="00ED2030">
              <w:rPr>
                <w:sz w:val="14"/>
              </w:rPr>
              <w:t xml:space="preserve"> 202</w:t>
            </w:r>
            <w:r w:rsidR="003E131C">
              <w:rPr>
                <w:sz w:val="14"/>
              </w:rPr>
              <w:t>2</w:t>
            </w:r>
          </w:p>
        </w:tc>
      </w:tr>
      <w:tr w:rsidR="00ED2030" w:rsidRPr="00ED2030" w14:paraId="179810E3" w14:textId="77777777" w:rsidTr="006A10C4">
        <w:tc>
          <w:tcPr>
            <w:tcW w:w="1327" w:type="dxa"/>
            <w:shd w:val="clear" w:color="auto" w:fill="auto"/>
          </w:tcPr>
          <w:p w14:paraId="36D4E3C5" w14:textId="77777777" w:rsidR="00D57B9B" w:rsidRPr="00ED2030" w:rsidRDefault="00D57B9B" w:rsidP="00D57B9B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032D270" w14:textId="5864A4D0" w:rsidR="00D57B9B" w:rsidRPr="00ED2030" w:rsidRDefault="00D57B9B" w:rsidP="00D57B9B">
            <w:pPr>
              <w:pStyle w:val="Tabulka"/>
              <w:rPr>
                <w:sz w:val="14"/>
              </w:rPr>
            </w:pPr>
            <w:r w:rsidRPr="00ED2030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58BFCC4E" w14:textId="77777777" w:rsidR="00D57B9B" w:rsidRPr="00ED2030" w:rsidRDefault="00D57B9B" w:rsidP="00D57B9B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510DC053" w14:textId="18218032" w:rsidR="00D57B9B" w:rsidRPr="00ED2030" w:rsidRDefault="00A5791C" w:rsidP="00D57B9B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 xml:space="preserve">7 </w:t>
            </w:r>
            <w:r w:rsidR="00D57B9B" w:rsidRPr="00ED2030">
              <w:rPr>
                <w:sz w:val="14"/>
              </w:rPr>
              <w:t>měsíců od zahájení stavebních prací (viz smlouva)*</w:t>
            </w:r>
          </w:p>
        </w:tc>
      </w:tr>
    </w:tbl>
    <w:p w14:paraId="67BAB037" w14:textId="43A4BD24" w:rsidR="00DF7BAA" w:rsidRDefault="00DF7BAA" w:rsidP="00ED2030">
      <w:pPr>
        <w:pStyle w:val="Textbezslovn"/>
      </w:pPr>
      <w:r w:rsidRPr="00ED2030">
        <w:t>*) Datum ukončení stavby je závislé na termínu zahájení stavebních prací</w:t>
      </w:r>
    </w:p>
    <w:p w14:paraId="00070F04" w14:textId="77777777" w:rsidR="00DF7BAA" w:rsidRDefault="00DF7BAA" w:rsidP="00DF7BAA">
      <w:pPr>
        <w:pStyle w:val="Text2-1"/>
      </w:pPr>
      <w:r>
        <w:t>………….</w:t>
      </w:r>
    </w:p>
    <w:p w14:paraId="29D7C88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t>PŘÍLOHY</w:t>
      </w:r>
      <w:bookmarkEnd w:id="73"/>
      <w:bookmarkEnd w:id="74"/>
    </w:p>
    <w:p w14:paraId="2012FCD7" w14:textId="442693A0" w:rsidR="00DF7BAA" w:rsidRPr="00ED2030" w:rsidRDefault="000941B0" w:rsidP="00DF7BAA">
      <w:pPr>
        <w:pStyle w:val="Text2-1"/>
      </w:pPr>
      <w:r>
        <w:t xml:space="preserve">ZPD - </w:t>
      </w:r>
      <w:r w:rsidR="00ED2030">
        <w:t xml:space="preserve">Technologie prací, </w:t>
      </w:r>
      <w:r w:rsidR="0068779F">
        <w:t xml:space="preserve">Předpokládaný záměr a popis prací, </w:t>
      </w:r>
      <w:r w:rsidR="00ED2030">
        <w:t>Situace, Příčný řez</w:t>
      </w:r>
      <w:r w:rsidR="00DF7BAA" w:rsidRPr="00ED2030">
        <w:t>.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DFBB2" w14:textId="77777777" w:rsidR="00B62535" w:rsidRDefault="00B62535" w:rsidP="00962258">
      <w:pPr>
        <w:spacing w:after="0" w:line="240" w:lineRule="auto"/>
      </w:pPr>
      <w:r>
        <w:separator/>
      </w:r>
    </w:p>
  </w:endnote>
  <w:endnote w:type="continuationSeparator" w:id="0">
    <w:p w14:paraId="7E77EEC6" w14:textId="77777777" w:rsidR="00B62535" w:rsidRDefault="00B625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57770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505C29DE" w:rsidR="00A57770" w:rsidRPr="006A10C4" w:rsidRDefault="00A57770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0B245E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0B245E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657C8649" w14:textId="77777777" w:rsidR="00336ADA" w:rsidRPr="00336ADA" w:rsidRDefault="00336ADA" w:rsidP="00336ADA">
          <w:pPr>
            <w:spacing w:after="0"/>
            <w:rPr>
              <w:rFonts w:cs="Arial"/>
              <w:sz w:val="12"/>
              <w:szCs w:val="12"/>
            </w:rPr>
          </w:pPr>
          <w:r w:rsidRPr="00336ADA">
            <w:rPr>
              <w:rFonts w:cs="Arial"/>
              <w:color w:val="000000"/>
              <w:sz w:val="12"/>
              <w:szCs w:val="12"/>
            </w:rPr>
            <w:t>Oprava opěrné zdi v úseku Studenec – Vladislav</w:t>
          </w:r>
        </w:p>
        <w:p w14:paraId="7F468745" w14:textId="77777777" w:rsidR="00A57770" w:rsidRPr="006A10C4" w:rsidRDefault="00A57770" w:rsidP="003462EB">
          <w:pPr>
            <w:pStyle w:val="Zpatvlevo"/>
          </w:pPr>
          <w:r w:rsidRPr="006A10C4">
            <w:t xml:space="preserve">Příloha č. 2 c) </w:t>
          </w:r>
        </w:p>
        <w:p w14:paraId="4FC04CB0" w14:textId="77777777" w:rsidR="00A57770" w:rsidRPr="006A10C4" w:rsidRDefault="00A57770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17B56569" w14:textId="77777777" w:rsidR="00A57770" w:rsidRPr="00614E71" w:rsidRDefault="00A5777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57770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C023940" w14:textId="77777777" w:rsidR="00336ADA" w:rsidRPr="00336ADA" w:rsidRDefault="00336ADA" w:rsidP="00336ADA">
          <w:pPr>
            <w:spacing w:after="0"/>
            <w:jc w:val="right"/>
            <w:rPr>
              <w:rFonts w:cs="Arial"/>
              <w:sz w:val="12"/>
              <w:szCs w:val="12"/>
            </w:rPr>
          </w:pPr>
          <w:r w:rsidRPr="00336ADA">
            <w:rPr>
              <w:rFonts w:cs="Arial"/>
              <w:color w:val="000000"/>
              <w:sz w:val="12"/>
              <w:szCs w:val="12"/>
            </w:rPr>
            <w:t>Oprava opěrné zdi v úseku Studenec – Vladislav</w:t>
          </w:r>
        </w:p>
        <w:p w14:paraId="5E1D2D32" w14:textId="77777777" w:rsidR="00A57770" w:rsidRPr="006A10C4" w:rsidRDefault="00A57770" w:rsidP="003B111D">
          <w:pPr>
            <w:pStyle w:val="Zpatvpravo"/>
          </w:pPr>
          <w:r w:rsidRPr="006A10C4">
            <w:t>Příloha č. 2 c)</w:t>
          </w:r>
        </w:p>
        <w:p w14:paraId="205BC769" w14:textId="77777777" w:rsidR="00A57770" w:rsidRPr="006A10C4" w:rsidRDefault="00A5777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61082B08" w:rsidR="00A57770" w:rsidRPr="006A10C4" w:rsidRDefault="00A5777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0B245E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0B245E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A57770" w:rsidRPr="00B8518B" w:rsidRDefault="00A5777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A57770" w:rsidRPr="00B8518B" w:rsidRDefault="00A57770" w:rsidP="00460660">
    <w:pPr>
      <w:pStyle w:val="Zpat"/>
      <w:rPr>
        <w:sz w:val="2"/>
        <w:szCs w:val="2"/>
      </w:rPr>
    </w:pPr>
  </w:p>
  <w:p w14:paraId="0C534B82" w14:textId="77777777" w:rsidR="00A57770" w:rsidRDefault="00A57770" w:rsidP="00054FC6">
    <w:pPr>
      <w:pStyle w:val="Zpat"/>
      <w:rPr>
        <w:rFonts w:cs="Calibri"/>
        <w:szCs w:val="12"/>
      </w:rPr>
    </w:pPr>
  </w:p>
  <w:p w14:paraId="72845FD6" w14:textId="77777777" w:rsidR="00A57770" w:rsidRPr="005D19D8" w:rsidRDefault="00A57770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A57770" w:rsidRPr="00460660" w:rsidRDefault="00A5777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4A01C" w14:textId="77777777" w:rsidR="00B62535" w:rsidRDefault="00B62535" w:rsidP="00962258">
      <w:pPr>
        <w:spacing w:after="0" w:line="240" w:lineRule="auto"/>
      </w:pPr>
      <w:r>
        <w:separator/>
      </w:r>
    </w:p>
  </w:footnote>
  <w:footnote w:type="continuationSeparator" w:id="0">
    <w:p w14:paraId="682F2084" w14:textId="77777777" w:rsidR="00B62535" w:rsidRDefault="00B625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57770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A57770" w:rsidRPr="006A10C4" w:rsidRDefault="00A5777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A57770" w:rsidRPr="006A10C4" w:rsidRDefault="00A5777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A57770" w:rsidRPr="006A10C4" w:rsidRDefault="00A57770" w:rsidP="006A10C4">
          <w:pPr>
            <w:pStyle w:val="Druhdokumentu"/>
            <w:spacing w:after="0"/>
          </w:pPr>
        </w:p>
      </w:tc>
    </w:tr>
  </w:tbl>
  <w:p w14:paraId="4CE49ED7" w14:textId="77777777" w:rsidR="00A57770" w:rsidRPr="00D6163D" w:rsidRDefault="00A5777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7770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A57770" w:rsidRPr="006A10C4" w:rsidRDefault="00A577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A57770" w:rsidRPr="006A10C4" w:rsidRDefault="00A577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A57770" w:rsidRPr="006A10C4" w:rsidRDefault="00A57770" w:rsidP="006A10C4">
          <w:pPr>
            <w:pStyle w:val="Druhdokumentu"/>
            <w:spacing w:after="0"/>
          </w:pPr>
        </w:p>
      </w:tc>
    </w:tr>
    <w:tr w:rsidR="00A57770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A57770" w:rsidRPr="006A10C4" w:rsidRDefault="00A5777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A57770" w:rsidRPr="006A10C4" w:rsidRDefault="00A5777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A57770" w:rsidRPr="006A10C4" w:rsidRDefault="00A57770" w:rsidP="006A10C4">
          <w:pPr>
            <w:pStyle w:val="Druhdokumentu"/>
            <w:spacing w:after="0"/>
          </w:pPr>
        </w:p>
      </w:tc>
    </w:tr>
  </w:tbl>
  <w:p w14:paraId="22594FAA" w14:textId="77777777" w:rsidR="00A57770" w:rsidRPr="00D6163D" w:rsidRDefault="00A57770" w:rsidP="00FC6389">
    <w:pPr>
      <w:pStyle w:val="Zhlav"/>
      <w:rPr>
        <w:sz w:val="8"/>
        <w:szCs w:val="8"/>
      </w:rPr>
    </w:pPr>
  </w:p>
  <w:p w14:paraId="5751DFB5" w14:textId="77777777" w:rsidR="00A57770" w:rsidRPr="00460660" w:rsidRDefault="00A5777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941B0"/>
    <w:rsid w:val="000A2B28"/>
    <w:rsid w:val="000A6E75"/>
    <w:rsid w:val="000B245E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36ADA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131C"/>
    <w:rsid w:val="003E420D"/>
    <w:rsid w:val="003E4C13"/>
    <w:rsid w:val="004078F3"/>
    <w:rsid w:val="004109A7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1BF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8779F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47AB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332D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3264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57770"/>
    <w:rsid w:val="00A5791C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16BD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62535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57B9B"/>
    <w:rsid w:val="00D6163D"/>
    <w:rsid w:val="00D831A3"/>
    <w:rsid w:val="00D837E6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D2030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57BB4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8</TotalTime>
  <Pages>12</Pages>
  <Words>4271</Words>
  <Characters>25199</Characters>
  <Application>Microsoft Office Word</Application>
  <DocSecurity>0</DocSecurity>
  <Lines>209</Lines>
  <Paragraphs>58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29412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Skutilová Lena, Ing.</cp:lastModifiedBy>
  <cp:revision>4</cp:revision>
  <cp:lastPrinted>2019-03-07T15:42:00Z</cp:lastPrinted>
  <dcterms:created xsi:type="dcterms:W3CDTF">2022-06-23T12:09:00Z</dcterms:created>
  <dcterms:modified xsi:type="dcterms:W3CDTF">2022-07-13T12:02:00Z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